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FAF" w:rsidRDefault="00CB0FAF" w:rsidP="00D56AC9">
      <w:pPr>
        <w:jc w:val="center"/>
      </w:pPr>
      <w:bookmarkStart w:id="0" w:name="_GoBack"/>
      <w:r>
        <w:t>Những trường hợp được và không được trả hồ sơ điều tra bổ sung</w:t>
      </w:r>
    </w:p>
    <w:tbl>
      <w:tblPr>
        <w:tblStyle w:val="TableGrid"/>
        <w:tblW w:w="0" w:type="auto"/>
        <w:jc w:val="center"/>
        <w:tblLook w:val="04A0" w:firstRow="1" w:lastRow="0" w:firstColumn="1" w:lastColumn="0" w:noHBand="0" w:noVBand="1"/>
      </w:tblPr>
      <w:tblGrid>
        <w:gridCol w:w="1268"/>
        <w:gridCol w:w="1195"/>
        <w:gridCol w:w="2748"/>
        <w:gridCol w:w="2552"/>
      </w:tblGrid>
      <w:tr w:rsidR="00065867" w:rsidTr="00E34EFE">
        <w:trPr>
          <w:trHeight w:val="427"/>
          <w:jc w:val="center"/>
        </w:trPr>
        <w:tc>
          <w:tcPr>
            <w:tcW w:w="2463" w:type="dxa"/>
            <w:gridSpan w:val="2"/>
          </w:tcPr>
          <w:bookmarkEnd w:id="0"/>
          <w:p w:rsidR="00065867" w:rsidRDefault="00065867" w:rsidP="00E34EFE">
            <w:pPr>
              <w:jc w:val="center"/>
            </w:pPr>
            <w:r>
              <w:t>Nhóm trường hợp</w:t>
            </w:r>
          </w:p>
        </w:tc>
        <w:tc>
          <w:tcPr>
            <w:tcW w:w="2748" w:type="dxa"/>
          </w:tcPr>
          <w:p w:rsidR="00065867" w:rsidRDefault="00065867" w:rsidP="00E34EFE">
            <w:pPr>
              <w:jc w:val="center"/>
            </w:pPr>
            <w:r>
              <w:t>Viện kiểm sát</w:t>
            </w:r>
          </w:p>
        </w:tc>
        <w:tc>
          <w:tcPr>
            <w:tcW w:w="2552" w:type="dxa"/>
          </w:tcPr>
          <w:p w:rsidR="00065867" w:rsidRDefault="00065867" w:rsidP="00E34EFE">
            <w:pPr>
              <w:jc w:val="center"/>
            </w:pPr>
            <w:r>
              <w:t>Tòa án</w:t>
            </w:r>
          </w:p>
        </w:tc>
      </w:tr>
      <w:tr w:rsidR="00A447A7" w:rsidTr="00E34EFE">
        <w:trPr>
          <w:jc w:val="center"/>
        </w:trPr>
        <w:tc>
          <w:tcPr>
            <w:tcW w:w="1268" w:type="dxa"/>
            <w:vMerge w:val="restart"/>
            <w:shd w:val="clear" w:color="auto" w:fill="FFFF00"/>
          </w:tcPr>
          <w:p w:rsidR="00A447A7" w:rsidRDefault="00A447A7" w:rsidP="004768A8">
            <w:r w:rsidRPr="00A73CE3">
              <w:t xml:space="preserve">Khi có căn cứ để khởi tố bị can về một hay nhiều tội phạm khác; có người đồng phạm hoặc người phạm tội khác liên quan đến vụ án nhưng chưa được </w:t>
            </w:r>
            <w:r>
              <w:t xml:space="preserve">khởi tố vụ án, </w:t>
            </w:r>
            <w:r w:rsidRPr="00A73CE3">
              <w:t>khởi tố bị can</w:t>
            </w:r>
          </w:p>
        </w:tc>
        <w:tc>
          <w:tcPr>
            <w:tcW w:w="1195" w:type="dxa"/>
            <w:vMerge w:val="restart"/>
            <w:shd w:val="clear" w:color="auto" w:fill="00B0F0"/>
          </w:tcPr>
          <w:p w:rsidR="00A447A7" w:rsidRDefault="00E34EFE" w:rsidP="004768A8">
            <w:pPr>
              <w:rPr>
                <w:shd w:val="clear" w:color="auto" w:fill="FFFFFF"/>
              </w:rPr>
            </w:pPr>
            <w:r>
              <w:t>Được trả hồ sơ vụ án để điều tra bổ sung</w:t>
            </w:r>
          </w:p>
        </w:tc>
        <w:tc>
          <w:tcPr>
            <w:tcW w:w="2748" w:type="dxa"/>
          </w:tcPr>
          <w:p w:rsidR="00A447A7" w:rsidRDefault="00A447A7" w:rsidP="004768A8">
            <w:r>
              <w:rPr>
                <w:shd w:val="clear" w:color="auto" w:fill="FFFFFF"/>
              </w:rPr>
              <w:t>Khi khởi tố và điều tra về một hay nhiều tội nhưng chứng cứ trong hồ sơ vụ án cho thấy hành vi của bị can đã thực hiện cấu thành một hay nhiều tội khác</w:t>
            </w:r>
          </w:p>
        </w:tc>
        <w:tc>
          <w:tcPr>
            <w:tcW w:w="2552" w:type="dxa"/>
          </w:tcPr>
          <w:p w:rsidR="00A447A7" w:rsidRPr="00557045" w:rsidRDefault="00A447A7" w:rsidP="00892E7B">
            <w:pPr>
              <w:rPr>
                <w:shd w:val="clear" w:color="auto" w:fill="FFFFFF"/>
              </w:rPr>
            </w:pPr>
            <w:r>
              <w:rPr>
                <w:shd w:val="clear" w:color="auto" w:fill="FFFFFF"/>
              </w:rPr>
              <w:t>Trả hồ sơ điều tra bổ sung khi Viện kiểm sát truy tố về một hay nhiều tội, nhưng chứng cứ trong hồ sơ vụ án cho thấy hành vi của bị can hoặc bị cáo đã thực hiện cấu thành một hay nhiều tội khác.</w:t>
            </w:r>
          </w:p>
        </w:tc>
      </w:tr>
      <w:tr w:rsidR="00A447A7" w:rsidTr="00E34EFE">
        <w:trPr>
          <w:jc w:val="center"/>
        </w:trPr>
        <w:tc>
          <w:tcPr>
            <w:tcW w:w="1268" w:type="dxa"/>
            <w:vMerge/>
            <w:shd w:val="clear" w:color="auto" w:fill="FFFF00"/>
          </w:tcPr>
          <w:p w:rsidR="00A447A7" w:rsidRDefault="00A447A7"/>
        </w:tc>
        <w:tc>
          <w:tcPr>
            <w:tcW w:w="1195" w:type="dxa"/>
            <w:vMerge/>
            <w:shd w:val="clear" w:color="auto" w:fill="00B0F0"/>
          </w:tcPr>
          <w:p w:rsidR="00A447A7" w:rsidRDefault="00A447A7" w:rsidP="004768A8">
            <w:pPr>
              <w:rPr>
                <w:shd w:val="clear" w:color="auto" w:fill="FFFFFF"/>
              </w:rPr>
            </w:pPr>
          </w:p>
        </w:tc>
        <w:tc>
          <w:tcPr>
            <w:tcW w:w="2748" w:type="dxa"/>
          </w:tcPr>
          <w:p w:rsidR="00A447A7" w:rsidRDefault="00A447A7" w:rsidP="004768A8">
            <w:r>
              <w:rPr>
                <w:shd w:val="clear" w:color="auto" w:fill="FFFFFF"/>
              </w:rPr>
              <w:t>Ngoài tội phạm đã khởi tố và điều tra, chứng cứ trong hồ sơ vụ án cho thấy còn có căn cứ để khởi tố bị can về một hoặc nhiều tội khác</w:t>
            </w:r>
          </w:p>
        </w:tc>
        <w:tc>
          <w:tcPr>
            <w:tcW w:w="2552" w:type="dxa"/>
          </w:tcPr>
          <w:p w:rsidR="00A447A7" w:rsidRDefault="00A447A7" w:rsidP="00892E7B">
            <w:r>
              <w:rPr>
                <w:shd w:val="clear" w:color="auto" w:fill="FFFFFF"/>
              </w:rPr>
              <w:t>Ngoài hành vi phạm tội mà Viện kiểm sát đã truy tố, chứng cứ trong hồ sơ vụ án cho thấy còn có căn cứ để khởi tố bị can hoặc bị cáo về một hay nhiều tội khác</w:t>
            </w:r>
          </w:p>
        </w:tc>
      </w:tr>
      <w:tr w:rsidR="00A447A7" w:rsidTr="00E34EFE">
        <w:trPr>
          <w:jc w:val="center"/>
        </w:trPr>
        <w:tc>
          <w:tcPr>
            <w:tcW w:w="1268" w:type="dxa"/>
            <w:vMerge/>
            <w:shd w:val="clear" w:color="auto" w:fill="FFFF00"/>
          </w:tcPr>
          <w:p w:rsidR="00A447A7" w:rsidRDefault="00A447A7"/>
        </w:tc>
        <w:tc>
          <w:tcPr>
            <w:tcW w:w="1195" w:type="dxa"/>
            <w:vMerge/>
            <w:shd w:val="clear" w:color="auto" w:fill="00B0F0"/>
          </w:tcPr>
          <w:p w:rsidR="00A447A7" w:rsidRDefault="00A447A7" w:rsidP="004768A8">
            <w:pPr>
              <w:rPr>
                <w:shd w:val="clear" w:color="auto" w:fill="FFFFFF"/>
              </w:rPr>
            </w:pPr>
          </w:p>
        </w:tc>
        <w:tc>
          <w:tcPr>
            <w:tcW w:w="2748" w:type="dxa"/>
          </w:tcPr>
          <w:p w:rsidR="00A447A7" w:rsidRDefault="00A447A7" w:rsidP="004768A8">
            <w:r>
              <w:rPr>
                <w:shd w:val="clear" w:color="auto" w:fill="FFFFFF"/>
              </w:rPr>
              <w:t>Ngoài bị can đã bị khởi tố và điều tra, chứng cứ trong hồ sơ vụ án cho thấy còn có người đồng phạm khác hoặc có người phạm tội khác có liên quan đến vụ án nhưng chưa được khởi tố bị can</w:t>
            </w:r>
          </w:p>
        </w:tc>
        <w:tc>
          <w:tcPr>
            <w:tcW w:w="2552" w:type="dxa"/>
          </w:tcPr>
          <w:p w:rsidR="00A447A7" w:rsidRDefault="00A447A7" w:rsidP="00892E7B">
            <w:r>
              <w:rPr>
                <w:shd w:val="clear" w:color="auto" w:fill="FFFFFF"/>
              </w:rPr>
              <w:t>Ngoài bị can hoặc bị cáo đã bị truy tố, chứng cứ trong hồ sơ vụ án cho thấy còn có người đồng phạm khác hoặc có người phạm tội khác liên quan đến vụ án, nhưng chưa được khởi tố vụ án, khởi tố bị can</w:t>
            </w:r>
          </w:p>
        </w:tc>
      </w:tr>
      <w:tr w:rsidR="00A447A7" w:rsidTr="00E34EFE">
        <w:trPr>
          <w:jc w:val="center"/>
        </w:trPr>
        <w:tc>
          <w:tcPr>
            <w:tcW w:w="1268" w:type="dxa"/>
            <w:vMerge/>
            <w:shd w:val="clear" w:color="auto" w:fill="FFFF00"/>
          </w:tcPr>
          <w:p w:rsidR="00A447A7" w:rsidRDefault="00A447A7"/>
        </w:tc>
        <w:tc>
          <w:tcPr>
            <w:tcW w:w="1195" w:type="dxa"/>
            <w:vMerge w:val="restart"/>
            <w:shd w:val="clear" w:color="auto" w:fill="FF0000"/>
          </w:tcPr>
          <w:p w:rsidR="00A447A7" w:rsidRDefault="00A447A7">
            <w:r>
              <w:t>Không được trả hồ sơ vụ án để điều tra bổ sung</w:t>
            </w:r>
          </w:p>
        </w:tc>
        <w:tc>
          <w:tcPr>
            <w:tcW w:w="2748" w:type="dxa"/>
          </w:tcPr>
          <w:p w:rsidR="00A447A7" w:rsidRDefault="00A447A7" w:rsidP="00557045">
            <w:r>
              <w:t>Nếu có căn cứ để tách vụ án theo quy định tại khoản 2 Điều 242 </w:t>
            </w:r>
            <w:r>
              <w:rPr>
                <w:color w:val="333333"/>
                <w:shd w:val="clear" w:color="auto" w:fill="FFFFFF"/>
              </w:rPr>
              <w:t>của Bộ luật Tố tụng hình sự</w:t>
            </w:r>
          </w:p>
        </w:tc>
        <w:tc>
          <w:tcPr>
            <w:tcW w:w="2552" w:type="dxa"/>
          </w:tcPr>
          <w:p w:rsidR="00A447A7" w:rsidRDefault="00A447A7" w:rsidP="00557045">
            <w:r>
              <w:rPr>
                <w:shd w:val="clear" w:color="auto" w:fill="FFFFFF"/>
              </w:rPr>
              <w:t xml:space="preserve">Viện kiểm sát truy tố về một hay nhiều tội, </w:t>
            </w:r>
            <w:r w:rsidRPr="00557045">
              <w:t>nhưng chứng cứ trong hồ sơ vụ án cho thấy có thể xét xử bị can hoặc bị cáo về một hay nhiều tội tương ứng bằng hay nhẹ hơn hoặc có thể xét xử bị can hoặc bị cáo ít tội hơn số tội mà Viện kiểm sát truy tố</w:t>
            </w:r>
          </w:p>
        </w:tc>
      </w:tr>
      <w:tr w:rsidR="00A447A7" w:rsidTr="00E34EFE">
        <w:trPr>
          <w:jc w:val="center"/>
        </w:trPr>
        <w:tc>
          <w:tcPr>
            <w:tcW w:w="1268" w:type="dxa"/>
            <w:vMerge/>
            <w:shd w:val="clear" w:color="auto" w:fill="FFFF00"/>
          </w:tcPr>
          <w:p w:rsidR="00A447A7" w:rsidRDefault="00A447A7"/>
        </w:tc>
        <w:tc>
          <w:tcPr>
            <w:tcW w:w="1195" w:type="dxa"/>
            <w:vMerge/>
            <w:shd w:val="clear" w:color="auto" w:fill="FF0000"/>
          </w:tcPr>
          <w:p w:rsidR="00A447A7" w:rsidRDefault="00A447A7"/>
        </w:tc>
        <w:tc>
          <w:tcPr>
            <w:tcW w:w="2748" w:type="dxa"/>
          </w:tcPr>
          <w:p w:rsidR="00A447A7" w:rsidRDefault="00A447A7" w:rsidP="00557045">
            <w:r>
              <w:t xml:space="preserve">Nếu quyết định trả hồ sơ để điều tra bổ sung của Tòa án có căn cứ mà xét thấy không cần phải trả hồ sơ cho Cơ quan điều tra thì Viện kiểm sát trực tiếp tiến hành một số hoạt động điều tra để bổ sung tài liệu, chứng cứ theo quy định tại </w:t>
            </w:r>
            <w:r>
              <w:lastRenderedPageBreak/>
              <w:t>khoản 1 Điều 246 </w:t>
            </w:r>
            <w:r>
              <w:rPr>
                <w:color w:val="333333"/>
                <w:shd w:val="clear" w:color="auto" w:fill="FFFFFF"/>
              </w:rPr>
              <w:t>của Bộ luật Tố tụng hình sự</w:t>
            </w:r>
          </w:p>
        </w:tc>
        <w:tc>
          <w:tcPr>
            <w:tcW w:w="2552" w:type="dxa"/>
          </w:tcPr>
          <w:p w:rsidR="00A447A7" w:rsidRDefault="00A447A7" w:rsidP="00A447A7">
            <w:r>
              <w:lastRenderedPageBreak/>
              <w:t>Khi đã có quyết định tách vụ án hoặc chưa có quyết định tách vụ án của Cơ quan điều tra, Viện kiểm sát nhưng có căn cứ để tách vụ án theo quy định tại khoản 2 Điều 170, khoản 2 Điều 242 </w:t>
            </w:r>
            <w:r>
              <w:rPr>
                <w:color w:val="333333"/>
                <w:shd w:val="clear" w:color="auto" w:fill="FFFFFF"/>
              </w:rPr>
              <w:t>của Bộ luật Tố tụng hình sự</w:t>
            </w:r>
          </w:p>
        </w:tc>
      </w:tr>
      <w:tr w:rsidR="00A447A7" w:rsidTr="00E34EFE">
        <w:trPr>
          <w:jc w:val="center"/>
        </w:trPr>
        <w:tc>
          <w:tcPr>
            <w:tcW w:w="1268" w:type="dxa"/>
            <w:vMerge/>
            <w:shd w:val="clear" w:color="auto" w:fill="FFFF00"/>
          </w:tcPr>
          <w:p w:rsidR="00A447A7" w:rsidRDefault="00A447A7"/>
        </w:tc>
        <w:tc>
          <w:tcPr>
            <w:tcW w:w="1195" w:type="dxa"/>
            <w:vMerge/>
            <w:shd w:val="clear" w:color="auto" w:fill="FF0000"/>
          </w:tcPr>
          <w:p w:rsidR="00A447A7" w:rsidRDefault="00A447A7"/>
        </w:tc>
        <w:tc>
          <w:tcPr>
            <w:tcW w:w="2748" w:type="dxa"/>
          </w:tcPr>
          <w:p w:rsidR="00A447A7" w:rsidRDefault="00A447A7"/>
        </w:tc>
        <w:tc>
          <w:tcPr>
            <w:tcW w:w="2552" w:type="dxa"/>
          </w:tcPr>
          <w:p w:rsidR="00A447A7" w:rsidRDefault="00A447A7" w:rsidP="00A447A7">
            <w:r>
              <w:t>Đã yêu cầu Viện kiểm sát bổ sung tài liệu, chứng cứ theo quy định tại Điều 284 </w:t>
            </w:r>
            <w:r>
              <w:rPr>
                <w:color w:val="333333"/>
                <w:shd w:val="clear" w:color="auto" w:fill="FFFFFF"/>
              </w:rPr>
              <w:t>của Bộ luật Tố tụng hình sự</w:t>
            </w:r>
            <w:r>
              <w:t>.</w:t>
            </w:r>
          </w:p>
        </w:tc>
      </w:tr>
      <w:tr w:rsidR="00A447A7" w:rsidTr="00E34EFE">
        <w:trPr>
          <w:jc w:val="center"/>
        </w:trPr>
        <w:tc>
          <w:tcPr>
            <w:tcW w:w="2463" w:type="dxa"/>
            <w:gridSpan w:val="2"/>
            <w:vMerge w:val="restart"/>
            <w:shd w:val="clear" w:color="auto" w:fill="00B050"/>
          </w:tcPr>
          <w:p w:rsidR="00A447A7" w:rsidRPr="00A73CE3" w:rsidRDefault="00A447A7">
            <w:pPr>
              <w:rPr>
                <w:rFonts w:ascii="Times New Roman" w:hAnsi="Times New Roman"/>
                <w:color w:val="000000"/>
              </w:rPr>
            </w:pPr>
            <w:r>
              <w:t>Không được trả hồ sơ để điều tra bổ sung nếu thiếu chứng cứ, chứng minh đối với các vấn đề được quy định tại Điều 85 Bộ luật Tố tụng Hình sự 2015</w:t>
            </w:r>
          </w:p>
        </w:tc>
        <w:tc>
          <w:tcPr>
            <w:tcW w:w="5300" w:type="dxa"/>
            <w:gridSpan w:val="2"/>
          </w:tcPr>
          <w:p w:rsidR="00A447A7" w:rsidRPr="00A73CE3" w:rsidRDefault="00A447A7" w:rsidP="00A447A7">
            <w:r w:rsidRPr="00A73CE3">
              <w:t xml:space="preserve">Chứng cứ để chứng minh “có hành vi phạm tội xảy ra hay không” là chứng cứ để xác định hành vi đã xảy ra có đủ yếu tố cấu thành tội phạm cụ thể được quy định trong Bộ luật Hình sự hay thuộc các trường hợp không phải là hành vi phạm tội </w:t>
            </w:r>
            <w:r>
              <w:t>(</w:t>
            </w:r>
            <w:r w:rsidRPr="00A73CE3">
              <w:t>quan hệ dân sự, kinh tế, vi phạm hành chính và các trường hợp khác theo quy định của luật)</w:t>
            </w:r>
          </w:p>
        </w:tc>
      </w:tr>
      <w:tr w:rsidR="00A447A7" w:rsidTr="00E34EFE">
        <w:trPr>
          <w:jc w:val="center"/>
        </w:trPr>
        <w:tc>
          <w:tcPr>
            <w:tcW w:w="2463" w:type="dxa"/>
            <w:gridSpan w:val="2"/>
            <w:vMerge/>
            <w:shd w:val="clear" w:color="auto" w:fill="00B050"/>
          </w:tcPr>
          <w:p w:rsidR="00A447A7" w:rsidRPr="00A73CE3" w:rsidRDefault="00A447A7">
            <w:pPr>
              <w:rPr>
                <w:rFonts w:ascii="Times New Roman" w:hAnsi="Times New Roman"/>
                <w:color w:val="000000"/>
              </w:rPr>
            </w:pPr>
          </w:p>
        </w:tc>
        <w:tc>
          <w:tcPr>
            <w:tcW w:w="5300" w:type="dxa"/>
            <w:gridSpan w:val="2"/>
          </w:tcPr>
          <w:p w:rsidR="00A447A7" w:rsidRPr="00A73CE3" w:rsidRDefault="00A447A7" w:rsidP="00A447A7">
            <w:r w:rsidRPr="00A73CE3">
              <w:t>Chứng cứ để chứng minh “thời gian, địa điểm và những tình tiết khác của hành vi phạm tội” là chứng cứ xác định nếu có hành vi phạm tội xảy ra thì xảy ra vào thời gian nào, ở đâu; phương pháp, thủ đoạn, công cụ, phương tiện thực hiện tội phạm như thế nào</w:t>
            </w:r>
          </w:p>
        </w:tc>
      </w:tr>
      <w:tr w:rsidR="00A447A7" w:rsidTr="00E34EFE">
        <w:trPr>
          <w:jc w:val="center"/>
        </w:trPr>
        <w:tc>
          <w:tcPr>
            <w:tcW w:w="2463" w:type="dxa"/>
            <w:gridSpan w:val="2"/>
            <w:vMerge/>
            <w:shd w:val="clear" w:color="auto" w:fill="00B050"/>
          </w:tcPr>
          <w:p w:rsidR="00A447A7" w:rsidRPr="00A73CE3" w:rsidRDefault="00A447A7" w:rsidP="005F0EB9">
            <w:pPr>
              <w:shd w:val="clear" w:color="auto" w:fill="FFFFFF"/>
              <w:tabs>
                <w:tab w:val="left" w:pos="9270"/>
              </w:tabs>
              <w:spacing w:before="80"/>
              <w:ind w:right="-90"/>
              <w:jc w:val="both"/>
              <w:rPr>
                <w:rFonts w:ascii="Times New Roman" w:hAnsi="Times New Roman"/>
                <w:color w:val="000000"/>
              </w:rPr>
            </w:pPr>
          </w:p>
        </w:tc>
        <w:tc>
          <w:tcPr>
            <w:tcW w:w="5300" w:type="dxa"/>
            <w:gridSpan w:val="2"/>
          </w:tcPr>
          <w:p w:rsidR="00A447A7" w:rsidRPr="00A73CE3" w:rsidRDefault="00A447A7" w:rsidP="00A447A7">
            <w:r w:rsidRPr="00A73CE3">
              <w:t>Chứng cứ để chứng minh “</w:t>
            </w:r>
            <w:r>
              <w:t>a</w:t>
            </w:r>
            <w:r w:rsidRPr="00A73CE3">
              <w:t>i là người thực hiện hành vi phạm tội” là chứng cứ xác định một chủ thể cụ thể đã thực hiện hành vi phạm tội đó;</w:t>
            </w:r>
          </w:p>
        </w:tc>
      </w:tr>
      <w:tr w:rsidR="00A447A7" w:rsidTr="00E34EFE">
        <w:trPr>
          <w:jc w:val="center"/>
        </w:trPr>
        <w:tc>
          <w:tcPr>
            <w:tcW w:w="2463" w:type="dxa"/>
            <w:gridSpan w:val="2"/>
            <w:vMerge/>
            <w:shd w:val="clear" w:color="auto" w:fill="00B050"/>
          </w:tcPr>
          <w:p w:rsidR="00A447A7" w:rsidRPr="00A73CE3" w:rsidRDefault="00A447A7" w:rsidP="005F0EB9">
            <w:pPr>
              <w:shd w:val="clear" w:color="auto" w:fill="FFFFFF"/>
              <w:tabs>
                <w:tab w:val="left" w:pos="9270"/>
              </w:tabs>
              <w:spacing w:before="80"/>
              <w:ind w:right="-90"/>
              <w:jc w:val="both"/>
              <w:rPr>
                <w:rFonts w:ascii="Times New Roman" w:hAnsi="Times New Roman"/>
                <w:color w:val="000000"/>
              </w:rPr>
            </w:pPr>
          </w:p>
        </w:tc>
        <w:tc>
          <w:tcPr>
            <w:tcW w:w="5300" w:type="dxa"/>
            <w:gridSpan w:val="2"/>
          </w:tcPr>
          <w:p w:rsidR="00A447A7" w:rsidRPr="00A73CE3" w:rsidRDefault="00A447A7" w:rsidP="00A447A7">
            <w:r w:rsidRPr="00A73CE3">
              <w:t xml:space="preserve">Chứng cứ để chứng minh “có lỗi hay không có lỗi” là chứng cứ xác định chủ thể có lỗi hoặc không có lỗi khi thực hiện hành vi nguy hiểm cho xã </w:t>
            </w:r>
            <w:r w:rsidRPr="0044433F">
              <w:rPr>
                <w:spacing w:val="-2"/>
              </w:rPr>
              <w:t xml:space="preserve">hội; nếu có lỗi thì là lỗi cố ý trực tiếp hay lỗi cố ý gián tiếp hoặc lỗi vô ý do quá tự tin hay lỗi vô ý do cẩu thả theo quy định tại Điều 10 và Điều 11 </w:t>
            </w:r>
            <w:r>
              <w:rPr>
                <w:spacing w:val="-2"/>
              </w:rPr>
              <w:t xml:space="preserve">của </w:t>
            </w:r>
            <w:r w:rsidRPr="0044433F">
              <w:rPr>
                <w:spacing w:val="-2"/>
              </w:rPr>
              <w:t>Bộ luật Hình sự;</w:t>
            </w:r>
          </w:p>
        </w:tc>
      </w:tr>
      <w:tr w:rsidR="00A447A7" w:rsidTr="00E34EFE">
        <w:trPr>
          <w:jc w:val="center"/>
        </w:trPr>
        <w:tc>
          <w:tcPr>
            <w:tcW w:w="2463" w:type="dxa"/>
            <w:gridSpan w:val="2"/>
            <w:vMerge/>
            <w:shd w:val="clear" w:color="auto" w:fill="00B050"/>
          </w:tcPr>
          <w:p w:rsidR="00A447A7" w:rsidRPr="00A73CE3" w:rsidRDefault="00A447A7">
            <w:pPr>
              <w:rPr>
                <w:rFonts w:ascii="Times New Roman" w:hAnsi="Times New Roman"/>
                <w:color w:val="000000"/>
              </w:rPr>
            </w:pPr>
          </w:p>
        </w:tc>
        <w:tc>
          <w:tcPr>
            <w:tcW w:w="5300" w:type="dxa"/>
            <w:gridSpan w:val="2"/>
          </w:tcPr>
          <w:p w:rsidR="00A447A7" w:rsidRPr="00A73CE3" w:rsidRDefault="00A447A7" w:rsidP="00A447A7">
            <w:r w:rsidRPr="00A73CE3">
              <w:t>Chứng cứ để chứng minh “có năng lực trách nhiệm hình sự không” là chứng cứ xác định khi thực hiện hành vi nguy hiểm cho xã hội, người thực hiện hành vi nguy hiểm cho xã hội đã đủ tuổi chịu trách nhiệm hình sự chưa; có mắc bệnh tâm thần hoặc một bệnh khác làm mất khả năng nhận thức hoặc khả năng điều khiển hành vi của mình hay không; nếu có thì mắc bệnh đó vào thời gian nào, trong giai đoạn tố tụng nào</w:t>
            </w:r>
          </w:p>
        </w:tc>
      </w:tr>
      <w:tr w:rsidR="00A447A7" w:rsidTr="00E34EFE">
        <w:trPr>
          <w:jc w:val="center"/>
        </w:trPr>
        <w:tc>
          <w:tcPr>
            <w:tcW w:w="2463" w:type="dxa"/>
            <w:gridSpan w:val="2"/>
            <w:vMerge/>
            <w:shd w:val="clear" w:color="auto" w:fill="00B050"/>
          </w:tcPr>
          <w:p w:rsidR="00A447A7" w:rsidRPr="00A73CE3" w:rsidRDefault="00A447A7">
            <w:pPr>
              <w:rPr>
                <w:rFonts w:ascii="Times New Roman" w:hAnsi="Times New Roman"/>
                <w:color w:val="000000"/>
              </w:rPr>
            </w:pPr>
          </w:p>
        </w:tc>
        <w:tc>
          <w:tcPr>
            <w:tcW w:w="5300" w:type="dxa"/>
            <w:gridSpan w:val="2"/>
          </w:tcPr>
          <w:p w:rsidR="00A447A7" w:rsidRPr="00A73CE3" w:rsidRDefault="00A447A7" w:rsidP="00A447A7">
            <w:r w:rsidRPr="00A73CE3">
              <w:t>Chứng cứ để chứng minh “mục đích, động cơ phạm tội” là chứng cứ xác định chủ thể thực hiện hành vi phạm tội với mục đích, động cơ gì; mục đích, động cơ phạm tội là tình tiết tăng nặng trách nhiệm hình sự hay là tình tiết định tội, tình tiết định khung hình phạt</w:t>
            </w:r>
          </w:p>
        </w:tc>
      </w:tr>
      <w:tr w:rsidR="00A447A7" w:rsidTr="00E34EFE">
        <w:trPr>
          <w:jc w:val="center"/>
        </w:trPr>
        <w:tc>
          <w:tcPr>
            <w:tcW w:w="2463" w:type="dxa"/>
            <w:gridSpan w:val="2"/>
            <w:vMerge/>
            <w:shd w:val="clear" w:color="auto" w:fill="00B050"/>
          </w:tcPr>
          <w:p w:rsidR="00A447A7" w:rsidRPr="00A73CE3" w:rsidRDefault="00A447A7">
            <w:pPr>
              <w:rPr>
                <w:rFonts w:ascii="Times New Roman" w:hAnsi="Times New Roman"/>
                <w:color w:val="000000"/>
              </w:rPr>
            </w:pPr>
          </w:p>
        </w:tc>
        <w:tc>
          <w:tcPr>
            <w:tcW w:w="5300" w:type="dxa"/>
            <w:gridSpan w:val="2"/>
          </w:tcPr>
          <w:p w:rsidR="00A447A7" w:rsidRPr="00A73CE3" w:rsidRDefault="00A447A7" w:rsidP="00A447A7">
            <w:r w:rsidRPr="00A73CE3">
              <w:t>Chứng cứ để chứng minh “tình tiết tăng nặng, tình tiết giảm nhẹ trách nhiệm hình sự của bị can, bị cáo” là chứng cứ xác định bị can, bị cáo được áp dụng tình tiết giảm nhẹ trách nhiệm hình sự nào quy định tại Điều 51, Điều 84</w:t>
            </w:r>
            <w:r>
              <w:t xml:space="preserve"> của</w:t>
            </w:r>
            <w:r w:rsidRPr="00A73CE3">
              <w:t xml:space="preserve"> Bộ luật Hình sự hoặc áp dụng tình tiết tăng nặng trách nhiệm hình sự nào quy định tại Điều 52, Điều 85</w:t>
            </w:r>
            <w:r>
              <w:t xml:space="preserve"> của</w:t>
            </w:r>
            <w:r w:rsidRPr="00A73CE3">
              <w:t xml:space="preserve"> Bộ luật Hình sự</w:t>
            </w:r>
          </w:p>
        </w:tc>
      </w:tr>
      <w:tr w:rsidR="00A447A7" w:rsidTr="00E34EFE">
        <w:trPr>
          <w:jc w:val="center"/>
        </w:trPr>
        <w:tc>
          <w:tcPr>
            <w:tcW w:w="2463" w:type="dxa"/>
            <w:gridSpan w:val="2"/>
            <w:vMerge/>
            <w:shd w:val="clear" w:color="auto" w:fill="00B050"/>
          </w:tcPr>
          <w:p w:rsidR="00A447A7" w:rsidRPr="00A73CE3" w:rsidRDefault="00A447A7">
            <w:pPr>
              <w:rPr>
                <w:rFonts w:ascii="Times New Roman" w:hAnsi="Times New Roman"/>
                <w:color w:val="000000"/>
              </w:rPr>
            </w:pPr>
          </w:p>
        </w:tc>
        <w:tc>
          <w:tcPr>
            <w:tcW w:w="5300" w:type="dxa"/>
            <w:gridSpan w:val="2"/>
          </w:tcPr>
          <w:p w:rsidR="00A447A7" w:rsidRPr="00A73CE3" w:rsidRDefault="00A447A7" w:rsidP="00A447A7">
            <w:r w:rsidRPr="00A73CE3">
              <w:t>Chứng cứ để chứng minh “đặc điểm về nhân thân của bị can, bị cáo” là chứng cứ xác định lý lịch của bị can, bị cáo; nếu bị can, bị cáo là pháp nhân thương mại thì phải chứng minh tên, địa chỉ và những vấn đề khác có liên quan đến địa vị pháp lý và hoạt động của pháp nhân th</w:t>
            </w:r>
            <w:r w:rsidRPr="00A73CE3">
              <w:rPr>
                <w:lang w:val="vi-VN"/>
              </w:rPr>
              <w:t>ư</w:t>
            </w:r>
            <w:r w:rsidRPr="00A73CE3">
              <w:t>ơng mại</w:t>
            </w:r>
          </w:p>
        </w:tc>
      </w:tr>
      <w:tr w:rsidR="00A447A7" w:rsidTr="00E34EFE">
        <w:trPr>
          <w:jc w:val="center"/>
        </w:trPr>
        <w:tc>
          <w:tcPr>
            <w:tcW w:w="2463" w:type="dxa"/>
            <w:gridSpan w:val="2"/>
            <w:vMerge/>
            <w:shd w:val="clear" w:color="auto" w:fill="00B050"/>
          </w:tcPr>
          <w:p w:rsidR="00A447A7" w:rsidRPr="00A73CE3" w:rsidRDefault="00A447A7">
            <w:pPr>
              <w:rPr>
                <w:rFonts w:ascii="Times New Roman" w:hAnsi="Times New Roman"/>
                <w:color w:val="000000"/>
              </w:rPr>
            </w:pPr>
          </w:p>
        </w:tc>
        <w:tc>
          <w:tcPr>
            <w:tcW w:w="5300" w:type="dxa"/>
            <w:gridSpan w:val="2"/>
          </w:tcPr>
          <w:p w:rsidR="00A447A7" w:rsidRPr="00A73CE3" w:rsidRDefault="00A447A7" w:rsidP="00A447A7">
            <w:r w:rsidRPr="00A73CE3">
              <w:t>Chứng cứ để chứng minh “tính chất và mức độ thiệt hại do hành vi phạm tội gây ra” là chứng cứ để đánh giá tính chất, mức độ thiệt hại, hậu quả về vật chất, phi vật chất do hành vi phạm tội gây ra</w:t>
            </w:r>
          </w:p>
        </w:tc>
      </w:tr>
      <w:tr w:rsidR="00A447A7" w:rsidTr="00E34EFE">
        <w:trPr>
          <w:jc w:val="center"/>
        </w:trPr>
        <w:tc>
          <w:tcPr>
            <w:tcW w:w="2463" w:type="dxa"/>
            <w:gridSpan w:val="2"/>
            <w:vMerge/>
            <w:shd w:val="clear" w:color="auto" w:fill="00B050"/>
          </w:tcPr>
          <w:p w:rsidR="00A447A7" w:rsidRPr="00A73CE3" w:rsidRDefault="00A447A7">
            <w:pPr>
              <w:rPr>
                <w:rFonts w:ascii="Times New Roman" w:hAnsi="Times New Roman"/>
                <w:color w:val="000000"/>
              </w:rPr>
            </w:pPr>
          </w:p>
        </w:tc>
        <w:tc>
          <w:tcPr>
            <w:tcW w:w="5300" w:type="dxa"/>
            <w:gridSpan w:val="2"/>
          </w:tcPr>
          <w:p w:rsidR="00A447A7" w:rsidRPr="00A73CE3" w:rsidRDefault="00A447A7" w:rsidP="00A447A7">
            <w:r w:rsidRPr="00A73CE3">
              <w:t>Chứng cứ để chứng minh “nguyên nhân và điều kiện phạm tội” là chứng cứ xác định nguyên nhân chủ quan, khách quan, điều kiện cụ thể dẫn đến việc chủ thể thực hiện hành vi phạm tội</w:t>
            </w:r>
          </w:p>
        </w:tc>
      </w:tr>
      <w:tr w:rsidR="00A447A7" w:rsidTr="00E34EFE">
        <w:trPr>
          <w:jc w:val="center"/>
        </w:trPr>
        <w:tc>
          <w:tcPr>
            <w:tcW w:w="2463" w:type="dxa"/>
            <w:gridSpan w:val="2"/>
            <w:vMerge/>
            <w:shd w:val="clear" w:color="auto" w:fill="00B050"/>
          </w:tcPr>
          <w:p w:rsidR="00A447A7" w:rsidRPr="00A73CE3" w:rsidRDefault="00A447A7">
            <w:pPr>
              <w:rPr>
                <w:rFonts w:ascii="Times New Roman" w:hAnsi="Times New Roman"/>
                <w:color w:val="000000"/>
              </w:rPr>
            </w:pPr>
          </w:p>
        </w:tc>
        <w:tc>
          <w:tcPr>
            <w:tcW w:w="5300" w:type="dxa"/>
            <w:gridSpan w:val="2"/>
          </w:tcPr>
          <w:p w:rsidR="00A447A7" w:rsidRPr="00A73CE3" w:rsidRDefault="00A447A7" w:rsidP="00A447A7">
            <w:r w:rsidRPr="00A73CE3">
              <w:t>Chứng cứ để chứng minh</w:t>
            </w:r>
            <w:r>
              <w:t xml:space="preserve"> </w:t>
            </w:r>
            <w:r w:rsidRPr="00A73CE3">
              <w:t xml:space="preserve">“những tình tiết khác liên quan đến việc loại trừ trách nhiệm hình sự, miễn trách nhiệm hình sự, miễn hình phạt” là chứng cứ chứng minh những vấn đề được quy định tại các </w:t>
            </w:r>
            <w:r>
              <w:t>Đ</w:t>
            </w:r>
            <w:r w:rsidRPr="00A73CE3">
              <w:t xml:space="preserve">iều </w:t>
            </w:r>
            <w:r w:rsidRPr="005515C6">
              <w:t xml:space="preserve">20, 21, 22, 23, 24, 25, 26, </w:t>
            </w:r>
            <w:r>
              <w:t xml:space="preserve">27, 28, </w:t>
            </w:r>
            <w:r w:rsidRPr="005515C6">
              <w:t>29, 59</w:t>
            </w:r>
            <w:r>
              <w:t>,</w:t>
            </w:r>
            <w:r w:rsidRPr="005515C6">
              <w:t xml:space="preserve"> 88</w:t>
            </w:r>
            <w:r>
              <w:t xml:space="preserve"> và các điều luật khác của</w:t>
            </w:r>
            <w:r w:rsidRPr="005515C6">
              <w:t xml:space="preserve"> Bộ luật Hình sự</w:t>
            </w:r>
          </w:p>
        </w:tc>
      </w:tr>
      <w:tr w:rsidR="00A447A7" w:rsidTr="00E34EFE">
        <w:trPr>
          <w:jc w:val="center"/>
        </w:trPr>
        <w:tc>
          <w:tcPr>
            <w:tcW w:w="2463" w:type="dxa"/>
            <w:gridSpan w:val="2"/>
            <w:vMerge/>
            <w:shd w:val="clear" w:color="auto" w:fill="00B050"/>
          </w:tcPr>
          <w:p w:rsidR="00A447A7" w:rsidRPr="00A73CE3" w:rsidRDefault="00A447A7">
            <w:pPr>
              <w:rPr>
                <w:rFonts w:ascii="Times New Roman" w:hAnsi="Times New Roman"/>
                <w:color w:val="000000"/>
              </w:rPr>
            </w:pPr>
          </w:p>
        </w:tc>
        <w:tc>
          <w:tcPr>
            <w:tcW w:w="5300" w:type="dxa"/>
            <w:gridSpan w:val="2"/>
          </w:tcPr>
          <w:p w:rsidR="00A447A7" w:rsidRPr="00A73CE3" w:rsidRDefault="00A447A7" w:rsidP="00A447A7">
            <w:r w:rsidRPr="00A73CE3">
              <w:t xml:space="preserve">Chứng cứ khác để chứng minh một hoặc nhiều vấn đề quy định tại Điều 85 </w:t>
            </w:r>
            <w:r>
              <w:t>của</w:t>
            </w:r>
            <w:r w:rsidRPr="006C06BC">
              <w:t xml:space="preserve"> </w:t>
            </w:r>
            <w:r>
              <w:t>Bộ luật Tố tụng hình sự</w:t>
            </w:r>
            <w:r w:rsidRPr="00A73CE3">
              <w:t xml:space="preserve"> mà thiếu chứng cứ đó thì không có đủ căn cứ để giải quyết vụ án, như: chứng cứ để xác định tuổi của người bị buộc tội, người bị hại là người dưới 18 tuổi; chứng cứ để chứng minh vị trí, vai trò của từng bị can, bị cáo trong trường hợp đồng phạm hoặc phạm tội có tổ chức; chứng cứ để xác định trách nhiệm dân sự của bị can, bị cáo và những vấn đề khác có ý nghĩa trong việc giải quyết vụ án theo quy định của pháp luật</w:t>
            </w:r>
          </w:p>
        </w:tc>
      </w:tr>
      <w:tr w:rsidR="00A447A7" w:rsidTr="00E34EFE">
        <w:trPr>
          <w:jc w:val="center"/>
        </w:trPr>
        <w:tc>
          <w:tcPr>
            <w:tcW w:w="2463" w:type="dxa"/>
            <w:gridSpan w:val="2"/>
            <w:vMerge/>
            <w:shd w:val="clear" w:color="auto" w:fill="00B050"/>
          </w:tcPr>
          <w:p w:rsidR="00A447A7" w:rsidRPr="00A73CE3" w:rsidRDefault="00A447A7">
            <w:pPr>
              <w:rPr>
                <w:rFonts w:ascii="Times New Roman" w:hAnsi="Times New Roman"/>
                <w:color w:val="000000"/>
              </w:rPr>
            </w:pPr>
          </w:p>
        </w:tc>
        <w:tc>
          <w:tcPr>
            <w:tcW w:w="5300" w:type="dxa"/>
            <w:gridSpan w:val="2"/>
          </w:tcPr>
          <w:p w:rsidR="00A447A7" w:rsidRPr="00A73CE3" w:rsidRDefault="00A447A7" w:rsidP="00A447A7">
            <w:r w:rsidRPr="00A73CE3">
              <w:t>Trường hợp pháp nhân thương mại phạm tội thì ngoài việc xác định chứng cứ trong các trường hợp</w:t>
            </w:r>
            <w:r>
              <w:t xml:space="preserve"> đã nêu ở trên,</w:t>
            </w:r>
            <w:r w:rsidRPr="00A73CE3">
              <w:t xml:space="preserve"> còn phải xác định chứng cứ để chứng minh điều kiện chịu trách nhiệm hình sự của pháp nhân thương mại theo quy định tại Điều 75</w:t>
            </w:r>
            <w:r>
              <w:t xml:space="preserve"> của</w:t>
            </w:r>
            <w:r w:rsidRPr="00A73CE3">
              <w:t xml:space="preserve"> Bộ luật Hình sự</w:t>
            </w:r>
          </w:p>
        </w:tc>
      </w:tr>
      <w:tr w:rsidR="00A447A7" w:rsidTr="00E34EFE">
        <w:trPr>
          <w:jc w:val="center"/>
        </w:trPr>
        <w:tc>
          <w:tcPr>
            <w:tcW w:w="2463" w:type="dxa"/>
            <w:gridSpan w:val="2"/>
            <w:vMerge/>
            <w:shd w:val="clear" w:color="auto" w:fill="00B050"/>
          </w:tcPr>
          <w:p w:rsidR="00A447A7" w:rsidRPr="00A73CE3" w:rsidRDefault="00A447A7">
            <w:pPr>
              <w:rPr>
                <w:rFonts w:ascii="Times New Roman" w:hAnsi="Times New Roman"/>
                <w:color w:val="000000"/>
              </w:rPr>
            </w:pPr>
          </w:p>
        </w:tc>
        <w:tc>
          <w:tcPr>
            <w:tcW w:w="5300" w:type="dxa"/>
            <w:gridSpan w:val="2"/>
          </w:tcPr>
          <w:p w:rsidR="00A447A7" w:rsidRDefault="00A447A7" w:rsidP="00A447A7">
            <w:pPr>
              <w:rPr>
                <w:color w:val="333333"/>
              </w:rPr>
            </w:pPr>
            <w:r>
              <w:t>Không trả hồ sơ để điều tra bổ sung khi thiếu chứng cứ để chứng minh thuộc một trong các trường hợp nêu trên nhưng vẫn truy tố, xét xử được hoặc không thể thu thập được chứng cứ đó</w:t>
            </w:r>
          </w:p>
          <w:p w:rsidR="00A447A7" w:rsidRDefault="00A447A7" w:rsidP="00A447A7">
            <w:pPr>
              <w:rPr>
                <w:color w:val="333333"/>
              </w:rPr>
            </w:pPr>
            <w:r>
              <w:rPr>
                <w:color w:val="333333"/>
              </w:rPr>
              <w:t>V</w:t>
            </w:r>
            <w:r>
              <w:t>í dụ 1: Có 03 người làm chứng nhưng chỉ xác định được 02 người</w:t>
            </w:r>
          </w:p>
          <w:p w:rsidR="00A447A7" w:rsidRPr="00A447A7" w:rsidRDefault="00A447A7" w:rsidP="00A447A7">
            <w:pPr>
              <w:rPr>
                <w:color w:val="333333"/>
              </w:rPr>
            </w:pPr>
            <w:r>
              <w:t>Ví dụ 2: Hiện trường đã bị thay đổi không thể xem xét lại được hay vật chứng đã mất không thể tìm được</w:t>
            </w:r>
            <w:r w:rsidR="00065867">
              <w:t>.</w:t>
            </w:r>
          </w:p>
        </w:tc>
      </w:tr>
      <w:tr w:rsidR="00D56AC9" w:rsidTr="00E34EFE">
        <w:trPr>
          <w:jc w:val="center"/>
        </w:trPr>
        <w:tc>
          <w:tcPr>
            <w:tcW w:w="1268" w:type="dxa"/>
            <w:vMerge w:val="restart"/>
            <w:shd w:val="clear" w:color="auto" w:fill="C00000"/>
          </w:tcPr>
          <w:p w:rsidR="00D56AC9" w:rsidRDefault="00D56AC9">
            <w:r>
              <w:t>Có vi phạm nghiêm trọng về thủ tục tố tụng</w:t>
            </w:r>
          </w:p>
        </w:tc>
        <w:tc>
          <w:tcPr>
            <w:tcW w:w="1195" w:type="dxa"/>
            <w:vMerge w:val="restart"/>
            <w:shd w:val="clear" w:color="auto" w:fill="00B0F0"/>
          </w:tcPr>
          <w:p w:rsidR="00D56AC9" w:rsidRPr="00A73CE3" w:rsidRDefault="00D56AC9" w:rsidP="007500DC">
            <w:r>
              <w:t>Được trả hồ sơ để điều tra bổ sung khi có vi phạm tố tụng thuộc một trong các trường hợp sau đây:</w:t>
            </w:r>
          </w:p>
        </w:tc>
        <w:tc>
          <w:tcPr>
            <w:tcW w:w="5300" w:type="dxa"/>
            <w:gridSpan w:val="2"/>
          </w:tcPr>
          <w:p w:rsidR="00D56AC9" w:rsidRPr="00A73CE3" w:rsidRDefault="00D56AC9" w:rsidP="00065867">
            <w:pPr>
              <w:rPr>
                <w:rFonts w:ascii="Times New Roman" w:hAnsi="Times New Roman"/>
              </w:rPr>
            </w:pPr>
            <w:r>
              <w:t>Lệnh, quyết định của Cơ quan điều tra, cơ quan được giao nhiệm vụ tiến hành một số hoạt động điều tra mà theo quy định </w:t>
            </w:r>
            <w:r>
              <w:rPr>
                <w:color w:val="333333"/>
                <w:shd w:val="clear" w:color="auto" w:fill="FFFFFF"/>
              </w:rPr>
              <w:t>của Bộ luật Tố tụng hình sự</w:t>
            </w:r>
            <w:r>
              <w:t> phải có sự phê chuẩn của Viện kiểm sát, nhưng không có phê chuẩn của Viện kiểm sát hoặc việc ký lệnh, quyết định tố tụng không đúng thẩm quyền</w:t>
            </w:r>
          </w:p>
        </w:tc>
      </w:tr>
      <w:tr w:rsidR="00D56AC9" w:rsidTr="00E34EFE">
        <w:trPr>
          <w:jc w:val="center"/>
        </w:trPr>
        <w:tc>
          <w:tcPr>
            <w:tcW w:w="1268" w:type="dxa"/>
            <w:vMerge/>
            <w:shd w:val="clear" w:color="auto" w:fill="C00000"/>
          </w:tcPr>
          <w:p w:rsidR="00D56AC9" w:rsidRDefault="00D56AC9"/>
        </w:tc>
        <w:tc>
          <w:tcPr>
            <w:tcW w:w="1195" w:type="dxa"/>
            <w:vMerge/>
            <w:shd w:val="clear" w:color="auto" w:fill="00B0F0"/>
          </w:tcPr>
          <w:p w:rsidR="00D56AC9" w:rsidRPr="00A73CE3" w:rsidRDefault="00D56AC9">
            <w:pPr>
              <w:rPr>
                <w:rFonts w:ascii="Times New Roman" w:hAnsi="Times New Roman"/>
                <w:color w:val="000000"/>
              </w:rPr>
            </w:pPr>
          </w:p>
        </w:tc>
        <w:tc>
          <w:tcPr>
            <w:tcW w:w="5300" w:type="dxa"/>
            <w:gridSpan w:val="2"/>
          </w:tcPr>
          <w:p w:rsidR="00D56AC9" w:rsidRPr="00A73CE3" w:rsidRDefault="00D56AC9" w:rsidP="00065867">
            <w:pPr>
              <w:rPr>
                <w:rFonts w:ascii="Times New Roman" w:hAnsi="Times New Roman"/>
              </w:rPr>
            </w:pPr>
            <w:r>
              <w:t>Không chỉ định, thay đổi hoặc chấm dứt việc chỉ định người bào chữa cho người bị buộc tội theo quy định tại Điều 76 và Điều 77 </w:t>
            </w:r>
            <w:r>
              <w:rPr>
                <w:color w:val="333333"/>
                <w:shd w:val="clear" w:color="auto" w:fill="FFFFFF"/>
              </w:rPr>
              <w:t>của Bộ luật Tố tụng hình sự</w:t>
            </w:r>
          </w:p>
        </w:tc>
      </w:tr>
      <w:tr w:rsidR="00D56AC9" w:rsidTr="00E34EFE">
        <w:trPr>
          <w:jc w:val="center"/>
        </w:trPr>
        <w:tc>
          <w:tcPr>
            <w:tcW w:w="1268" w:type="dxa"/>
            <w:vMerge/>
            <w:shd w:val="clear" w:color="auto" w:fill="C00000"/>
          </w:tcPr>
          <w:p w:rsidR="00D56AC9" w:rsidRDefault="00D56AC9"/>
        </w:tc>
        <w:tc>
          <w:tcPr>
            <w:tcW w:w="1195" w:type="dxa"/>
            <w:vMerge/>
            <w:shd w:val="clear" w:color="auto" w:fill="00B0F0"/>
          </w:tcPr>
          <w:p w:rsidR="00D56AC9" w:rsidRPr="00A73CE3" w:rsidRDefault="00D56AC9">
            <w:pPr>
              <w:rPr>
                <w:rFonts w:ascii="Times New Roman" w:hAnsi="Times New Roman"/>
                <w:color w:val="000000"/>
              </w:rPr>
            </w:pPr>
          </w:p>
        </w:tc>
        <w:tc>
          <w:tcPr>
            <w:tcW w:w="5300" w:type="dxa"/>
            <w:gridSpan w:val="2"/>
          </w:tcPr>
          <w:p w:rsidR="00D56AC9" w:rsidRPr="00A73CE3" w:rsidRDefault="00D56AC9" w:rsidP="00065867">
            <w:pPr>
              <w:rPr>
                <w:rFonts w:ascii="Times New Roman" w:hAnsi="Times New Roman"/>
              </w:rPr>
            </w:pPr>
            <w:r>
              <w:rPr>
                <w:shd w:val="clear" w:color="auto" w:fill="FFFFFF"/>
              </w:rPr>
              <w:t>Xác định không đúng tư cách tham gia tố tụng của người tham gia tố tụng trong quá trình điều tra, truy tố, xét xử dẫn đến xâm hại nghiêm trọng quyền và lợi ích hợp pháp của họ</w:t>
            </w:r>
          </w:p>
        </w:tc>
      </w:tr>
      <w:tr w:rsidR="00D56AC9" w:rsidTr="00E34EFE">
        <w:trPr>
          <w:jc w:val="center"/>
        </w:trPr>
        <w:tc>
          <w:tcPr>
            <w:tcW w:w="1268" w:type="dxa"/>
            <w:vMerge/>
            <w:shd w:val="clear" w:color="auto" w:fill="C00000"/>
          </w:tcPr>
          <w:p w:rsidR="00D56AC9" w:rsidRDefault="00D56AC9"/>
        </w:tc>
        <w:tc>
          <w:tcPr>
            <w:tcW w:w="1195" w:type="dxa"/>
            <w:vMerge/>
            <w:shd w:val="clear" w:color="auto" w:fill="00B0F0"/>
          </w:tcPr>
          <w:p w:rsidR="00D56AC9" w:rsidRPr="00A73CE3" w:rsidRDefault="00D56AC9">
            <w:pPr>
              <w:rPr>
                <w:rFonts w:ascii="Times New Roman" w:hAnsi="Times New Roman"/>
                <w:color w:val="000000"/>
              </w:rPr>
            </w:pPr>
          </w:p>
        </w:tc>
        <w:tc>
          <w:tcPr>
            <w:tcW w:w="5300" w:type="dxa"/>
            <w:gridSpan w:val="2"/>
          </w:tcPr>
          <w:p w:rsidR="00D56AC9" w:rsidRPr="00A73CE3" w:rsidRDefault="00D56AC9" w:rsidP="00065867">
            <w:pPr>
              <w:rPr>
                <w:rFonts w:ascii="Times New Roman" w:hAnsi="Times New Roman"/>
              </w:rPr>
            </w:pPr>
            <w:r>
              <w:t>Khởi tố vụ án hình sự nhưng không có yêu cầu của bị hại hoặc của người đại diện của bị hại theo quy định tại khoản 1 Điều 155 </w:t>
            </w:r>
            <w:r>
              <w:rPr>
                <w:color w:val="333333"/>
                <w:shd w:val="clear" w:color="auto" w:fill="FFFFFF"/>
              </w:rPr>
              <w:t>của Bộ luật Tố tụng hình sự</w:t>
            </w:r>
          </w:p>
        </w:tc>
      </w:tr>
      <w:tr w:rsidR="00D56AC9" w:rsidTr="00E34EFE">
        <w:trPr>
          <w:jc w:val="center"/>
        </w:trPr>
        <w:tc>
          <w:tcPr>
            <w:tcW w:w="1268" w:type="dxa"/>
            <w:vMerge/>
            <w:shd w:val="clear" w:color="auto" w:fill="C00000"/>
          </w:tcPr>
          <w:p w:rsidR="00D56AC9" w:rsidRDefault="00D56AC9"/>
        </w:tc>
        <w:tc>
          <w:tcPr>
            <w:tcW w:w="1195" w:type="dxa"/>
            <w:vMerge/>
            <w:shd w:val="clear" w:color="auto" w:fill="00B0F0"/>
          </w:tcPr>
          <w:p w:rsidR="00D56AC9" w:rsidRPr="00A73CE3" w:rsidRDefault="00D56AC9">
            <w:pPr>
              <w:rPr>
                <w:rFonts w:ascii="Times New Roman" w:hAnsi="Times New Roman"/>
                <w:color w:val="000000"/>
              </w:rPr>
            </w:pPr>
          </w:p>
        </w:tc>
        <w:tc>
          <w:tcPr>
            <w:tcW w:w="5300" w:type="dxa"/>
            <w:gridSpan w:val="2"/>
          </w:tcPr>
          <w:p w:rsidR="00D56AC9" w:rsidRPr="00A73CE3" w:rsidRDefault="00D56AC9" w:rsidP="00065867">
            <w:pPr>
              <w:rPr>
                <w:rFonts w:ascii="Times New Roman" w:hAnsi="Times New Roman"/>
              </w:rPr>
            </w:pPr>
            <w:r>
              <w:t>Nhập vụ án hoặc tách vụ án không đúng quy định tại Điều 170 hoặc Điều 242 </w:t>
            </w:r>
            <w:r>
              <w:rPr>
                <w:color w:val="333333"/>
                <w:shd w:val="clear" w:color="auto" w:fill="FFFFFF"/>
              </w:rPr>
              <w:t>của Bộ luật Tố tụng hình sự</w:t>
            </w:r>
          </w:p>
        </w:tc>
      </w:tr>
      <w:tr w:rsidR="00D56AC9" w:rsidTr="00E34EFE">
        <w:trPr>
          <w:jc w:val="center"/>
        </w:trPr>
        <w:tc>
          <w:tcPr>
            <w:tcW w:w="1268" w:type="dxa"/>
            <w:vMerge/>
            <w:shd w:val="clear" w:color="auto" w:fill="C00000"/>
          </w:tcPr>
          <w:p w:rsidR="00D56AC9" w:rsidRDefault="00D56AC9"/>
        </w:tc>
        <w:tc>
          <w:tcPr>
            <w:tcW w:w="1195" w:type="dxa"/>
            <w:vMerge/>
            <w:shd w:val="clear" w:color="auto" w:fill="00B0F0"/>
          </w:tcPr>
          <w:p w:rsidR="00D56AC9" w:rsidRPr="00A73CE3" w:rsidRDefault="00D56AC9">
            <w:pPr>
              <w:rPr>
                <w:rFonts w:ascii="Times New Roman" w:hAnsi="Times New Roman"/>
                <w:color w:val="000000"/>
              </w:rPr>
            </w:pPr>
          </w:p>
        </w:tc>
        <w:tc>
          <w:tcPr>
            <w:tcW w:w="5300" w:type="dxa"/>
            <w:gridSpan w:val="2"/>
          </w:tcPr>
          <w:p w:rsidR="00D56AC9" w:rsidRPr="00A73CE3" w:rsidRDefault="00D56AC9" w:rsidP="00065867">
            <w:pPr>
              <w:rPr>
                <w:rFonts w:ascii="Times New Roman" w:hAnsi="Times New Roman"/>
              </w:rPr>
            </w:pPr>
            <w:r>
              <w:rPr>
                <w:shd w:val="clear" w:color="auto" w:fill="FFFFFF"/>
              </w:rPr>
              <w:t>Không cấp, giao, chuyển, gửi, niêm yết hoặc thông báo văn bản tố tụng gồm lệnh, quyết định, yêu cầu, kết luận điều tra, bản cáo trạng, bản án cho người bị buộc tội và những người tham gia tố tụng khác theo đúng quy định của pháp luật xâm hại nghiêm trọng đến quyền bào chữa, quyền, lợi ích hợp pháp của người bị buộc tội và những người tham gia tố tụng khác</w:t>
            </w:r>
          </w:p>
        </w:tc>
      </w:tr>
      <w:tr w:rsidR="00D56AC9" w:rsidTr="00E34EFE">
        <w:trPr>
          <w:jc w:val="center"/>
        </w:trPr>
        <w:tc>
          <w:tcPr>
            <w:tcW w:w="1268" w:type="dxa"/>
            <w:vMerge/>
            <w:shd w:val="clear" w:color="auto" w:fill="C00000"/>
          </w:tcPr>
          <w:p w:rsidR="00D56AC9" w:rsidRDefault="00D56AC9"/>
        </w:tc>
        <w:tc>
          <w:tcPr>
            <w:tcW w:w="1195" w:type="dxa"/>
            <w:vMerge/>
            <w:shd w:val="clear" w:color="auto" w:fill="00B0F0"/>
          </w:tcPr>
          <w:p w:rsidR="00D56AC9" w:rsidRPr="00A73CE3" w:rsidRDefault="00D56AC9">
            <w:pPr>
              <w:rPr>
                <w:rFonts w:ascii="Times New Roman" w:hAnsi="Times New Roman"/>
                <w:color w:val="000000"/>
              </w:rPr>
            </w:pPr>
          </w:p>
        </w:tc>
        <w:tc>
          <w:tcPr>
            <w:tcW w:w="5300" w:type="dxa"/>
            <w:gridSpan w:val="2"/>
          </w:tcPr>
          <w:p w:rsidR="00D56AC9" w:rsidRPr="00A73CE3" w:rsidRDefault="00D56AC9" w:rsidP="00065867">
            <w:pPr>
              <w:rPr>
                <w:rFonts w:ascii="Times New Roman" w:hAnsi="Times New Roman"/>
              </w:rPr>
            </w:pPr>
            <w:r>
              <w:rPr>
                <w:shd w:val="clear" w:color="auto" w:fill="FFFFFF"/>
              </w:rPr>
              <w:t>Chưa điều tra, lập lý lịch của bị can; chưa xác định được những đặc điểm quan trọng về nhân thân của bị can, bị cáo (tuổi, tiền án, tiền sự), lý lịch hoạt động của pháp nhân thương mại phạm tội (tên, địa chỉ, những vấn đề khác liên quan đến hồ sơ pháp lý của pháp nhân thương mại)</w:t>
            </w:r>
          </w:p>
        </w:tc>
      </w:tr>
      <w:tr w:rsidR="00D56AC9" w:rsidTr="00E34EFE">
        <w:trPr>
          <w:jc w:val="center"/>
        </w:trPr>
        <w:tc>
          <w:tcPr>
            <w:tcW w:w="1268" w:type="dxa"/>
            <w:vMerge/>
            <w:shd w:val="clear" w:color="auto" w:fill="C00000"/>
          </w:tcPr>
          <w:p w:rsidR="00D56AC9" w:rsidRDefault="00D56AC9"/>
        </w:tc>
        <w:tc>
          <w:tcPr>
            <w:tcW w:w="1195" w:type="dxa"/>
            <w:vMerge/>
            <w:shd w:val="clear" w:color="auto" w:fill="00B0F0"/>
          </w:tcPr>
          <w:p w:rsidR="00D56AC9" w:rsidRPr="00A73CE3" w:rsidRDefault="00D56AC9">
            <w:pPr>
              <w:rPr>
                <w:rFonts w:ascii="Times New Roman" w:hAnsi="Times New Roman"/>
                <w:color w:val="000000"/>
              </w:rPr>
            </w:pPr>
          </w:p>
        </w:tc>
        <w:tc>
          <w:tcPr>
            <w:tcW w:w="5300" w:type="dxa"/>
            <w:gridSpan w:val="2"/>
          </w:tcPr>
          <w:p w:rsidR="00D56AC9" w:rsidRPr="00A73CE3" w:rsidRDefault="00D56AC9" w:rsidP="00065867">
            <w:pPr>
              <w:rPr>
                <w:rFonts w:ascii="Times New Roman" w:hAnsi="Times New Roman"/>
              </w:rPr>
            </w:pPr>
            <w:r>
              <w:t>Không có người phiên dịch, người dịch thuật cho người tham gia tố tụng trong trường hợp họ không sử dụng được tiếng Việt hoặc tài liệu tố tụng không thể hiện bằng tiếng Việt; họ là người câm, người điếc, người mù theo quy định tại Điều 70 </w:t>
            </w:r>
            <w:r>
              <w:rPr>
                <w:color w:val="333333"/>
                <w:shd w:val="clear" w:color="auto" w:fill="FFFFFF"/>
              </w:rPr>
              <w:t>của Bộ luật Tố tụng hình sự</w:t>
            </w:r>
          </w:p>
        </w:tc>
      </w:tr>
      <w:tr w:rsidR="00D56AC9" w:rsidTr="00E34EFE">
        <w:trPr>
          <w:jc w:val="center"/>
        </w:trPr>
        <w:tc>
          <w:tcPr>
            <w:tcW w:w="1268" w:type="dxa"/>
            <w:vMerge/>
            <w:shd w:val="clear" w:color="auto" w:fill="C00000"/>
          </w:tcPr>
          <w:p w:rsidR="00D56AC9" w:rsidRDefault="00D56AC9"/>
        </w:tc>
        <w:tc>
          <w:tcPr>
            <w:tcW w:w="1195" w:type="dxa"/>
            <w:vMerge/>
            <w:shd w:val="clear" w:color="auto" w:fill="00B0F0"/>
          </w:tcPr>
          <w:p w:rsidR="00D56AC9" w:rsidRPr="00A73CE3" w:rsidRDefault="00D56AC9">
            <w:pPr>
              <w:rPr>
                <w:rFonts w:ascii="Times New Roman" w:hAnsi="Times New Roman"/>
                <w:color w:val="000000"/>
              </w:rPr>
            </w:pPr>
          </w:p>
        </w:tc>
        <w:tc>
          <w:tcPr>
            <w:tcW w:w="5300" w:type="dxa"/>
            <w:gridSpan w:val="2"/>
          </w:tcPr>
          <w:p w:rsidR="00D56AC9" w:rsidRPr="00A73CE3" w:rsidRDefault="00D56AC9" w:rsidP="00065867">
            <w:pPr>
              <w:rPr>
                <w:rFonts w:ascii="Times New Roman" w:hAnsi="Times New Roman"/>
              </w:rPr>
            </w:pPr>
            <w:r>
              <w:t>Không từ chối tiến hành, tham gia tố tụng hoặc thay đổi người tiến hành tố tụng, người tham gia tố tụng trong trường hợp quy định tại các điều 49, 51, 52, 53, 54, 68, 69 và 70 </w:t>
            </w:r>
            <w:r>
              <w:rPr>
                <w:color w:val="333333"/>
                <w:shd w:val="clear" w:color="auto" w:fill="FFFFFF"/>
              </w:rPr>
              <w:t>của Bộ luật Tố tụng hình sự</w:t>
            </w:r>
          </w:p>
        </w:tc>
      </w:tr>
      <w:tr w:rsidR="00D56AC9" w:rsidTr="00E34EFE">
        <w:trPr>
          <w:jc w:val="center"/>
        </w:trPr>
        <w:tc>
          <w:tcPr>
            <w:tcW w:w="1268" w:type="dxa"/>
            <w:vMerge/>
            <w:shd w:val="clear" w:color="auto" w:fill="C00000"/>
          </w:tcPr>
          <w:p w:rsidR="00D56AC9" w:rsidRDefault="00D56AC9"/>
        </w:tc>
        <w:tc>
          <w:tcPr>
            <w:tcW w:w="1195" w:type="dxa"/>
            <w:vMerge/>
            <w:shd w:val="clear" w:color="auto" w:fill="00B0F0"/>
          </w:tcPr>
          <w:p w:rsidR="00D56AC9" w:rsidRPr="00A73CE3" w:rsidRDefault="00D56AC9">
            <w:pPr>
              <w:rPr>
                <w:rFonts w:ascii="Times New Roman" w:hAnsi="Times New Roman"/>
                <w:color w:val="000000"/>
              </w:rPr>
            </w:pPr>
          </w:p>
        </w:tc>
        <w:tc>
          <w:tcPr>
            <w:tcW w:w="5300" w:type="dxa"/>
            <w:gridSpan w:val="2"/>
          </w:tcPr>
          <w:p w:rsidR="00D56AC9" w:rsidRPr="00A73CE3" w:rsidRDefault="00D56AC9" w:rsidP="00065867">
            <w:pPr>
              <w:rPr>
                <w:rFonts w:ascii="Times New Roman" w:hAnsi="Times New Roman"/>
              </w:rPr>
            </w:pPr>
            <w:r>
              <w:t>Việc điều tra, thu thập chứng cứ để chứng minh đối với vụ án không đúng trình tự, thủ tục quy định </w:t>
            </w:r>
            <w:r>
              <w:rPr>
                <w:color w:val="333333"/>
                <w:shd w:val="clear" w:color="auto" w:fill="FFFFFF"/>
              </w:rPr>
              <w:t>của Bộ luật Tố tụng hình sự</w:t>
            </w:r>
            <w:r>
              <w:t> nên không có giá trị chứng minh trong vụ án hình sự</w:t>
            </w:r>
          </w:p>
        </w:tc>
      </w:tr>
      <w:tr w:rsidR="00D56AC9" w:rsidTr="00E34EFE">
        <w:trPr>
          <w:jc w:val="center"/>
        </w:trPr>
        <w:tc>
          <w:tcPr>
            <w:tcW w:w="1268" w:type="dxa"/>
            <w:vMerge/>
            <w:shd w:val="clear" w:color="auto" w:fill="C00000"/>
          </w:tcPr>
          <w:p w:rsidR="00D56AC9" w:rsidRDefault="00D56AC9"/>
        </w:tc>
        <w:tc>
          <w:tcPr>
            <w:tcW w:w="1195" w:type="dxa"/>
            <w:vMerge/>
            <w:shd w:val="clear" w:color="auto" w:fill="00B0F0"/>
          </w:tcPr>
          <w:p w:rsidR="00D56AC9" w:rsidRPr="00A73CE3" w:rsidRDefault="00D56AC9">
            <w:pPr>
              <w:rPr>
                <w:rFonts w:ascii="Times New Roman" w:hAnsi="Times New Roman"/>
                <w:color w:val="000000"/>
              </w:rPr>
            </w:pPr>
          </w:p>
        </w:tc>
        <w:tc>
          <w:tcPr>
            <w:tcW w:w="5300" w:type="dxa"/>
            <w:gridSpan w:val="2"/>
          </w:tcPr>
          <w:p w:rsidR="00D56AC9" w:rsidRPr="00A73CE3" w:rsidRDefault="00D56AC9" w:rsidP="00065867">
            <w:pPr>
              <w:rPr>
                <w:rFonts w:ascii="Times New Roman" w:hAnsi="Times New Roman"/>
              </w:rPr>
            </w:pPr>
            <w:r>
              <w:t>Biên bản về hoạt động điều tra, thu thập, nhận được tài liệu liên quan đến vụ án mà không chuyển cho Viện kiểm sát theo đúng quy định tại khoản 5 Điều 88 </w:t>
            </w:r>
            <w:r>
              <w:rPr>
                <w:color w:val="333333"/>
                <w:shd w:val="clear" w:color="auto" w:fill="FFFFFF"/>
              </w:rPr>
              <w:t>của Bộ luật Tố tụng hình sự</w:t>
            </w:r>
          </w:p>
        </w:tc>
      </w:tr>
      <w:tr w:rsidR="00D56AC9" w:rsidTr="00E34EFE">
        <w:trPr>
          <w:jc w:val="center"/>
        </w:trPr>
        <w:tc>
          <w:tcPr>
            <w:tcW w:w="1268" w:type="dxa"/>
            <w:vMerge/>
            <w:shd w:val="clear" w:color="auto" w:fill="C00000"/>
          </w:tcPr>
          <w:p w:rsidR="00D56AC9" w:rsidRDefault="00D56AC9"/>
        </w:tc>
        <w:tc>
          <w:tcPr>
            <w:tcW w:w="1195" w:type="dxa"/>
            <w:vMerge/>
            <w:shd w:val="clear" w:color="auto" w:fill="00B0F0"/>
          </w:tcPr>
          <w:p w:rsidR="00D56AC9" w:rsidRPr="00A73CE3" w:rsidRDefault="00D56AC9">
            <w:pPr>
              <w:rPr>
                <w:rFonts w:ascii="Times New Roman" w:hAnsi="Times New Roman"/>
                <w:color w:val="000000"/>
              </w:rPr>
            </w:pPr>
          </w:p>
        </w:tc>
        <w:tc>
          <w:tcPr>
            <w:tcW w:w="5300" w:type="dxa"/>
            <w:gridSpan w:val="2"/>
          </w:tcPr>
          <w:p w:rsidR="00D56AC9" w:rsidRPr="00A73CE3" w:rsidRDefault="00D56AC9" w:rsidP="00065867">
            <w:pPr>
              <w:rPr>
                <w:rFonts w:ascii="Times New Roman" w:hAnsi="Times New Roman"/>
              </w:rPr>
            </w:pPr>
            <w:r>
              <w:rPr>
                <w:shd w:val="clear" w:color="auto" w:fill="FFFFFF"/>
              </w:rPr>
              <w:t>Chứng cứ để chứng minh đối với vụ án đã được thu thập trong quá trình điều tra, truy tố nhưng không đưa vào hồ sơ vụ án hoặc bị sửa chữa, thêm bớt dẫn đến sai lệch hồ sơ vụ án</w:t>
            </w:r>
          </w:p>
        </w:tc>
      </w:tr>
      <w:tr w:rsidR="00D56AC9" w:rsidTr="00E34EFE">
        <w:trPr>
          <w:jc w:val="center"/>
        </w:trPr>
        <w:tc>
          <w:tcPr>
            <w:tcW w:w="1268" w:type="dxa"/>
            <w:vMerge/>
            <w:shd w:val="clear" w:color="auto" w:fill="C00000"/>
          </w:tcPr>
          <w:p w:rsidR="00D56AC9" w:rsidRDefault="00D56AC9"/>
        </w:tc>
        <w:tc>
          <w:tcPr>
            <w:tcW w:w="1195" w:type="dxa"/>
            <w:vMerge/>
            <w:shd w:val="clear" w:color="auto" w:fill="00B0F0"/>
          </w:tcPr>
          <w:p w:rsidR="00D56AC9" w:rsidRPr="00A73CE3" w:rsidRDefault="00D56AC9">
            <w:pPr>
              <w:rPr>
                <w:rFonts w:ascii="Times New Roman" w:hAnsi="Times New Roman"/>
                <w:color w:val="000000"/>
              </w:rPr>
            </w:pPr>
          </w:p>
        </w:tc>
        <w:tc>
          <w:tcPr>
            <w:tcW w:w="5300" w:type="dxa"/>
            <w:gridSpan w:val="2"/>
          </w:tcPr>
          <w:p w:rsidR="00D56AC9" w:rsidRPr="00A73CE3" w:rsidRDefault="00D56AC9" w:rsidP="00065867">
            <w:pPr>
              <w:rPr>
                <w:rFonts w:ascii="Times New Roman" w:hAnsi="Times New Roman"/>
              </w:rPr>
            </w:pPr>
            <w:r>
              <w:rPr>
                <w:shd w:val="clear" w:color="auto" w:fill="FFFFFF"/>
              </w:rPr>
              <w:t>Việc điều tra, truy tố không đúng thẩm quyền theo quy định của pháp luật</w:t>
            </w:r>
          </w:p>
        </w:tc>
      </w:tr>
      <w:tr w:rsidR="00D56AC9" w:rsidTr="00E34EFE">
        <w:trPr>
          <w:jc w:val="center"/>
        </w:trPr>
        <w:tc>
          <w:tcPr>
            <w:tcW w:w="1268" w:type="dxa"/>
            <w:vMerge/>
            <w:shd w:val="clear" w:color="auto" w:fill="C00000"/>
          </w:tcPr>
          <w:p w:rsidR="00D56AC9" w:rsidRDefault="00D56AC9"/>
        </w:tc>
        <w:tc>
          <w:tcPr>
            <w:tcW w:w="1195" w:type="dxa"/>
            <w:vMerge/>
            <w:shd w:val="clear" w:color="auto" w:fill="00B0F0"/>
          </w:tcPr>
          <w:p w:rsidR="00D56AC9" w:rsidRPr="00A73CE3" w:rsidRDefault="00D56AC9">
            <w:pPr>
              <w:rPr>
                <w:rFonts w:ascii="Times New Roman" w:hAnsi="Times New Roman"/>
                <w:color w:val="000000"/>
              </w:rPr>
            </w:pPr>
          </w:p>
        </w:tc>
        <w:tc>
          <w:tcPr>
            <w:tcW w:w="5300" w:type="dxa"/>
            <w:gridSpan w:val="2"/>
          </w:tcPr>
          <w:p w:rsidR="00D56AC9" w:rsidRDefault="00D56AC9" w:rsidP="00065867">
            <w:pPr>
              <w:rPr>
                <w:shd w:val="clear" w:color="auto" w:fill="FFFFFF"/>
              </w:rPr>
            </w:pPr>
            <w:r>
              <w:rPr>
                <w:shd w:val="clear" w:color="auto" w:fill="FFFFFF"/>
              </w:rPr>
              <w:t>Có căn cứ để xác định có việc bức cung, nhục hình trong quá trình tiến hành tố tụng làm cho lời khai của bị can không đúng sự thật</w:t>
            </w:r>
          </w:p>
        </w:tc>
      </w:tr>
      <w:tr w:rsidR="00D56AC9" w:rsidTr="00E34EFE">
        <w:trPr>
          <w:jc w:val="center"/>
        </w:trPr>
        <w:tc>
          <w:tcPr>
            <w:tcW w:w="1268" w:type="dxa"/>
            <w:vMerge/>
            <w:shd w:val="clear" w:color="auto" w:fill="C00000"/>
          </w:tcPr>
          <w:p w:rsidR="00D56AC9" w:rsidRDefault="00D56AC9"/>
        </w:tc>
        <w:tc>
          <w:tcPr>
            <w:tcW w:w="1195" w:type="dxa"/>
            <w:vMerge/>
            <w:shd w:val="clear" w:color="auto" w:fill="00B0F0"/>
          </w:tcPr>
          <w:p w:rsidR="00D56AC9" w:rsidRPr="00A73CE3" w:rsidRDefault="00D56AC9">
            <w:pPr>
              <w:rPr>
                <w:rFonts w:ascii="Times New Roman" w:hAnsi="Times New Roman"/>
                <w:color w:val="000000"/>
              </w:rPr>
            </w:pPr>
          </w:p>
        </w:tc>
        <w:tc>
          <w:tcPr>
            <w:tcW w:w="5300" w:type="dxa"/>
            <w:gridSpan w:val="2"/>
          </w:tcPr>
          <w:p w:rsidR="00D56AC9" w:rsidRDefault="00D56AC9" w:rsidP="00065867">
            <w:pPr>
              <w:rPr>
                <w:shd w:val="clear" w:color="auto" w:fill="FFFFFF"/>
              </w:rPr>
            </w:pPr>
            <w:r>
              <w:rPr>
                <w:shd w:val="clear" w:color="auto" w:fill="FFFFFF"/>
              </w:rPr>
              <w:t>Khiếu nại, tố cáo của bị can, bị cáo và những người tham gia tố tụng khác không được giải quyết theo đúng quy định của pháp luật xâm hại nghiêm trọng đến quyền, lợi ích hợp pháp của họ</w:t>
            </w:r>
          </w:p>
        </w:tc>
      </w:tr>
      <w:tr w:rsidR="00D56AC9" w:rsidTr="00E34EFE">
        <w:trPr>
          <w:jc w:val="center"/>
        </w:trPr>
        <w:tc>
          <w:tcPr>
            <w:tcW w:w="1268" w:type="dxa"/>
            <w:vMerge/>
            <w:shd w:val="clear" w:color="auto" w:fill="C00000"/>
          </w:tcPr>
          <w:p w:rsidR="00D56AC9" w:rsidRDefault="00D56AC9"/>
        </w:tc>
        <w:tc>
          <w:tcPr>
            <w:tcW w:w="1195" w:type="dxa"/>
            <w:vMerge/>
            <w:shd w:val="clear" w:color="auto" w:fill="00B0F0"/>
          </w:tcPr>
          <w:p w:rsidR="00D56AC9" w:rsidRPr="00A73CE3" w:rsidRDefault="00D56AC9">
            <w:pPr>
              <w:rPr>
                <w:rFonts w:ascii="Times New Roman" w:hAnsi="Times New Roman"/>
                <w:color w:val="000000"/>
              </w:rPr>
            </w:pPr>
          </w:p>
        </w:tc>
        <w:tc>
          <w:tcPr>
            <w:tcW w:w="5300" w:type="dxa"/>
            <w:gridSpan w:val="2"/>
          </w:tcPr>
          <w:p w:rsidR="00D56AC9" w:rsidRDefault="00D56AC9" w:rsidP="00065867">
            <w:pPr>
              <w:rPr>
                <w:shd w:val="clear" w:color="auto" w:fill="FFFFFF"/>
              </w:rPr>
            </w:pPr>
            <w:r>
              <w:rPr>
                <w:shd w:val="clear" w:color="auto" w:fill="FFFFFF"/>
              </w:rPr>
              <w:t>Những trường hợp khác phải ghi rõ lý do trong quyết định trả hồ sơ để điều tra bổ sung</w:t>
            </w:r>
          </w:p>
        </w:tc>
      </w:tr>
      <w:tr w:rsidR="00D56AC9" w:rsidTr="00E34EFE">
        <w:trPr>
          <w:jc w:val="center"/>
        </w:trPr>
        <w:tc>
          <w:tcPr>
            <w:tcW w:w="1268" w:type="dxa"/>
            <w:vMerge/>
            <w:shd w:val="clear" w:color="auto" w:fill="C00000"/>
          </w:tcPr>
          <w:p w:rsidR="00D56AC9" w:rsidRDefault="00D56AC9"/>
        </w:tc>
        <w:tc>
          <w:tcPr>
            <w:tcW w:w="1195" w:type="dxa"/>
            <w:vMerge w:val="restart"/>
            <w:shd w:val="clear" w:color="auto" w:fill="FF0000"/>
          </w:tcPr>
          <w:p w:rsidR="00D56AC9" w:rsidRPr="00A73CE3" w:rsidRDefault="00D56AC9" w:rsidP="00065867">
            <w:r>
              <w:t>Không được trả hồ sơ để điều tra bổ sung nế u thuộc các trường hợp sau đây:</w:t>
            </w:r>
          </w:p>
        </w:tc>
        <w:tc>
          <w:tcPr>
            <w:tcW w:w="5300" w:type="dxa"/>
            <w:gridSpan w:val="2"/>
          </w:tcPr>
          <w:p w:rsidR="00D56AC9" w:rsidRDefault="00D56AC9" w:rsidP="00065867">
            <w:pPr>
              <w:rPr>
                <w:shd w:val="clear" w:color="auto" w:fill="FFFFFF"/>
              </w:rPr>
            </w:pPr>
            <w:r>
              <w:rPr>
                <w:shd w:val="clear" w:color="auto" w:fill="FFFFFF"/>
              </w:rPr>
              <w:t>Có vi phạm nghiêm trọng thủ tục tố tụng, nhưng không xâm hại nghiêm trọng đến quyền, lợi ích hợp pháp của người tham gia tố tụng</w:t>
            </w:r>
          </w:p>
        </w:tc>
      </w:tr>
      <w:tr w:rsidR="00D56AC9" w:rsidTr="00E34EFE">
        <w:trPr>
          <w:trHeight w:val="2306"/>
          <w:jc w:val="center"/>
        </w:trPr>
        <w:tc>
          <w:tcPr>
            <w:tcW w:w="1268" w:type="dxa"/>
            <w:vMerge/>
            <w:shd w:val="clear" w:color="auto" w:fill="C00000"/>
          </w:tcPr>
          <w:p w:rsidR="00D56AC9" w:rsidRDefault="00D56AC9"/>
        </w:tc>
        <w:tc>
          <w:tcPr>
            <w:tcW w:w="1195" w:type="dxa"/>
            <w:vMerge/>
            <w:tcBorders>
              <w:bottom w:val="nil"/>
            </w:tcBorders>
            <w:shd w:val="clear" w:color="auto" w:fill="FF0000"/>
          </w:tcPr>
          <w:p w:rsidR="00D56AC9" w:rsidRPr="00A73CE3" w:rsidRDefault="00D56AC9">
            <w:pPr>
              <w:rPr>
                <w:rFonts w:ascii="Times New Roman" w:hAnsi="Times New Roman"/>
                <w:color w:val="000000"/>
              </w:rPr>
            </w:pPr>
          </w:p>
        </w:tc>
        <w:tc>
          <w:tcPr>
            <w:tcW w:w="5300" w:type="dxa"/>
            <w:gridSpan w:val="2"/>
            <w:tcBorders>
              <w:bottom w:val="nil"/>
            </w:tcBorders>
          </w:tcPr>
          <w:p w:rsidR="00D56AC9" w:rsidRDefault="00D56AC9" w:rsidP="00065867">
            <w:pPr>
              <w:rPr>
                <w:shd w:val="clear" w:color="auto" w:fill="FFFFFF"/>
              </w:rPr>
            </w:pPr>
            <w:r>
              <w:rPr>
                <w:shd w:val="clear" w:color="auto" w:fill="FFFFFF"/>
              </w:rPr>
              <w:t>Người bị buộc tội, người bị hại, người làm chứng là người dưới 18 tuổi nhưng khi thực hiện hoạt động điều tra, truy tố, xét xử thì họ đã đủ 18 tuổi</w:t>
            </w:r>
          </w:p>
        </w:tc>
      </w:tr>
      <w:tr w:rsidR="00D56AC9" w:rsidTr="00E34EFE">
        <w:trPr>
          <w:trHeight w:val="77"/>
          <w:jc w:val="center"/>
        </w:trPr>
        <w:tc>
          <w:tcPr>
            <w:tcW w:w="1268" w:type="dxa"/>
            <w:vMerge/>
            <w:shd w:val="clear" w:color="auto" w:fill="C00000"/>
          </w:tcPr>
          <w:p w:rsidR="00D56AC9" w:rsidRDefault="00D56AC9"/>
        </w:tc>
        <w:tc>
          <w:tcPr>
            <w:tcW w:w="1195" w:type="dxa"/>
            <w:tcBorders>
              <w:top w:val="nil"/>
              <w:right w:val="single" w:sz="4" w:space="0" w:color="auto"/>
            </w:tcBorders>
            <w:shd w:val="clear" w:color="auto" w:fill="FF0000"/>
          </w:tcPr>
          <w:p w:rsidR="00D56AC9" w:rsidRDefault="00D56AC9" w:rsidP="00065867">
            <w:pPr>
              <w:rPr>
                <w:shd w:val="clear" w:color="auto" w:fill="FFFFFF"/>
              </w:rPr>
            </w:pPr>
          </w:p>
        </w:tc>
        <w:tc>
          <w:tcPr>
            <w:tcW w:w="5300" w:type="dxa"/>
            <w:gridSpan w:val="2"/>
            <w:tcBorders>
              <w:top w:val="nil"/>
              <w:right w:val="single" w:sz="4" w:space="0" w:color="auto"/>
            </w:tcBorders>
          </w:tcPr>
          <w:p w:rsidR="00D56AC9" w:rsidRDefault="00D56AC9" w:rsidP="00065867">
            <w:pPr>
              <w:rPr>
                <w:shd w:val="clear" w:color="auto" w:fill="FFFFFF"/>
              </w:rPr>
            </w:pPr>
          </w:p>
        </w:tc>
      </w:tr>
    </w:tbl>
    <w:p w:rsidR="005F0EB9" w:rsidRDefault="005F0EB9"/>
    <w:sectPr w:rsidR="005F0E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EB9"/>
    <w:rsid w:val="00054E8D"/>
    <w:rsid w:val="00065867"/>
    <w:rsid w:val="004768A8"/>
    <w:rsid w:val="00534D48"/>
    <w:rsid w:val="00557045"/>
    <w:rsid w:val="005F0EB9"/>
    <w:rsid w:val="007500DC"/>
    <w:rsid w:val="007C0B6D"/>
    <w:rsid w:val="00892E7B"/>
    <w:rsid w:val="00907B54"/>
    <w:rsid w:val="00A01C96"/>
    <w:rsid w:val="00A447A7"/>
    <w:rsid w:val="00AD356B"/>
    <w:rsid w:val="00CB0FAF"/>
    <w:rsid w:val="00D56AC9"/>
    <w:rsid w:val="00E34EFE"/>
    <w:rsid w:val="00FA2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0E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447A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0E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447A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24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1521</Words>
  <Characters>8671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cp:revision>
  <dcterms:created xsi:type="dcterms:W3CDTF">2018-01-27T01:05:00Z</dcterms:created>
  <dcterms:modified xsi:type="dcterms:W3CDTF">2018-01-27T01:05:00Z</dcterms:modified>
</cp:coreProperties>
</file>